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D72C" w14:textId="390E96AB" w:rsidR="0002116C" w:rsidRPr="00E16D41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1C0F8FF9" w14:textId="77777777" w:rsidR="0002116C" w:rsidRPr="00E16D41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1C1306E5" w14:textId="7FB6EFCA" w:rsidR="0002116C" w:rsidRDefault="0002116C" w:rsidP="000211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281A1823" w14:textId="06A0D123" w:rsidR="0002116C" w:rsidRPr="0002116C" w:rsidRDefault="002968A7" w:rsidP="0002116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TATACARA PENGURUSAN ASET TAK ALIH (TPATA) UMUM &amp; PELAN STRATEGI PENGURUSAN ASET (OPERASI)</w:t>
      </w:r>
    </w:p>
    <w:p w14:paraId="10C538FA" w14:textId="77777777" w:rsidR="0002116C" w:rsidRPr="002968A7" w:rsidRDefault="0002116C" w:rsidP="00F047C7">
      <w:pPr>
        <w:jc w:val="both"/>
        <w:rPr>
          <w:sz w:val="12"/>
          <w:szCs w:val="12"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80"/>
        <w:gridCol w:w="3668"/>
        <w:gridCol w:w="5065"/>
      </w:tblGrid>
      <w:tr w:rsidR="0002116C" w14:paraId="24F75EE6" w14:textId="77777777" w:rsidTr="0002116C">
        <w:trPr>
          <w:trHeight w:val="410"/>
        </w:trPr>
        <w:tc>
          <w:tcPr>
            <w:tcW w:w="580" w:type="dxa"/>
            <w:vAlign w:val="center"/>
          </w:tcPr>
          <w:p w14:paraId="6720A4AC" w14:textId="210D2F6F" w:rsidR="0002116C" w:rsidRPr="0002116C" w:rsidRDefault="0002116C" w:rsidP="0002116C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BIL</w:t>
            </w:r>
          </w:p>
        </w:tc>
        <w:tc>
          <w:tcPr>
            <w:tcW w:w="3668" w:type="dxa"/>
            <w:vAlign w:val="center"/>
          </w:tcPr>
          <w:p w14:paraId="41011895" w14:textId="11C01827" w:rsidR="0002116C" w:rsidRPr="0002116C" w:rsidRDefault="0002116C" w:rsidP="0002116C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SOALAN</w:t>
            </w:r>
          </w:p>
        </w:tc>
        <w:tc>
          <w:tcPr>
            <w:tcW w:w="5065" w:type="dxa"/>
            <w:vAlign w:val="center"/>
          </w:tcPr>
          <w:p w14:paraId="6A5A4AE0" w14:textId="5D56685C" w:rsidR="0002116C" w:rsidRPr="0002116C" w:rsidRDefault="0002116C" w:rsidP="0002116C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JAWAPAN</w:t>
            </w:r>
          </w:p>
        </w:tc>
      </w:tr>
      <w:tr w:rsidR="0002116C" w14:paraId="3EA55C88" w14:textId="77777777" w:rsidTr="0002116C">
        <w:trPr>
          <w:trHeight w:val="3361"/>
        </w:trPr>
        <w:tc>
          <w:tcPr>
            <w:tcW w:w="580" w:type="dxa"/>
            <w:vAlign w:val="center"/>
          </w:tcPr>
          <w:p w14:paraId="16306FDB" w14:textId="082893BF" w:rsidR="0002116C" w:rsidRDefault="0002116C" w:rsidP="0002116C">
            <w:pPr>
              <w:jc w:val="center"/>
            </w:pPr>
            <w:r>
              <w:t>1.</w:t>
            </w:r>
          </w:p>
        </w:tc>
        <w:tc>
          <w:tcPr>
            <w:tcW w:w="3668" w:type="dxa"/>
            <w:vAlign w:val="center"/>
          </w:tcPr>
          <w:p w14:paraId="74B7DED6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Adakah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dibolehkan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untuk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penurunan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kuasa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daripada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Setiausaha</w:t>
            </w:r>
            <w:proofErr w:type="spellEnd"/>
            <w:r w:rsidRPr="002968A7">
              <w:t xml:space="preserve"> (KSU) </w:t>
            </w:r>
            <w:proofErr w:type="spellStart"/>
            <w:r w:rsidRPr="002968A7">
              <w:t>kepada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Jabatan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tujuan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menanda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tangani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pelantikan</w:t>
            </w:r>
            <w:proofErr w:type="spellEnd"/>
            <w:r w:rsidRPr="002968A7">
              <w:t xml:space="preserve"> Unit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Fasiliti</w:t>
            </w:r>
            <w:proofErr w:type="spellEnd"/>
            <w:r w:rsidRPr="002968A7">
              <w:t xml:space="preserve"> (UPF) </w:t>
            </w:r>
            <w:proofErr w:type="spellStart"/>
            <w:r w:rsidRPr="002968A7">
              <w:t>supaya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segala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mengenai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pelantikan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dapat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dipermudahkan</w:t>
            </w:r>
            <w:proofErr w:type="spellEnd"/>
            <w:r w:rsidRPr="002968A7">
              <w:t xml:space="preserve"> dan </w:t>
            </w:r>
            <w:proofErr w:type="spellStart"/>
            <w:r w:rsidRPr="002968A7">
              <w:t>dipercepatkan</w:t>
            </w:r>
            <w:proofErr w:type="spellEnd"/>
            <w:r w:rsidRPr="002968A7">
              <w:t>?</w:t>
            </w:r>
          </w:p>
          <w:p w14:paraId="719CBCDB" w14:textId="54EBCA2C" w:rsidR="0002116C" w:rsidRDefault="0002116C" w:rsidP="00F047C7">
            <w:pPr>
              <w:jc w:val="both"/>
            </w:pPr>
          </w:p>
        </w:tc>
        <w:tc>
          <w:tcPr>
            <w:tcW w:w="5065" w:type="dxa"/>
            <w:vAlign w:val="center"/>
          </w:tcPr>
          <w:p w14:paraId="1E0E6887" w14:textId="77777777" w:rsidR="0002116C" w:rsidRDefault="0002116C" w:rsidP="00F047C7">
            <w:pPr>
              <w:jc w:val="both"/>
            </w:pPr>
          </w:p>
          <w:p w14:paraId="1A28B890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Sebagaimana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Pekeliling</w:t>
            </w:r>
            <w:proofErr w:type="spellEnd"/>
            <w:r w:rsidRPr="002968A7">
              <w:t xml:space="preserve"> Am Bil.3 </w:t>
            </w:r>
            <w:proofErr w:type="spellStart"/>
            <w:r w:rsidRPr="002968A7">
              <w:t>Tahun</w:t>
            </w:r>
            <w:proofErr w:type="spellEnd"/>
            <w:r w:rsidRPr="002968A7">
              <w:t xml:space="preserve"> 2021 TPATA di Para 7.2 (b),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Pengawal</w:t>
            </w:r>
            <w:proofErr w:type="spellEnd"/>
            <w:r w:rsidRPr="002968A7">
              <w:t xml:space="preserve"> (KSU) </w:t>
            </w:r>
            <w:proofErr w:type="spellStart"/>
            <w:r w:rsidRPr="002968A7">
              <w:t>perlu</w:t>
            </w:r>
            <w:proofErr w:type="spellEnd"/>
            <w:r w:rsidRPr="002968A7">
              <w:t xml:space="preserve"> </w:t>
            </w:r>
            <w:proofErr w:type="spellStart"/>
            <w:proofErr w:type="gramStart"/>
            <w:r w:rsidRPr="002968A7">
              <w:t>melantik</w:t>
            </w:r>
            <w:proofErr w:type="spellEnd"/>
            <w:r w:rsidRPr="002968A7">
              <w:t xml:space="preserve">  </w:t>
            </w:r>
            <w:proofErr w:type="spellStart"/>
            <w:r w:rsidRPr="002968A7">
              <w:t>Pegawai</w:t>
            </w:r>
            <w:proofErr w:type="spellEnd"/>
            <w:proofErr w:type="gramEnd"/>
            <w:r w:rsidRPr="002968A7">
              <w:t xml:space="preserve"> </w:t>
            </w:r>
            <w:proofErr w:type="spellStart"/>
            <w:r w:rsidRPr="002968A7">
              <w:t>Teknikal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Fasiliti</w:t>
            </w:r>
            <w:proofErr w:type="spellEnd"/>
            <w:r w:rsidRPr="002968A7">
              <w:t xml:space="preserve"> (PTF) dan </w:t>
            </w:r>
            <w:proofErr w:type="spellStart"/>
            <w:r w:rsidRPr="002968A7">
              <w:t>pegawai-pegawai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berkaitan</w:t>
            </w:r>
            <w:proofErr w:type="spellEnd"/>
            <w:r w:rsidRPr="002968A7">
              <w:t xml:space="preserve"> di </w:t>
            </w:r>
            <w:proofErr w:type="spellStart"/>
            <w:r w:rsidRPr="002968A7">
              <w:t>peringkat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Kerajaan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menguruskan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alih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mengikut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syarat</w:t>
            </w:r>
            <w:proofErr w:type="spellEnd"/>
            <w:r w:rsidRPr="002968A7">
              <w:t xml:space="preserve"> dan </w:t>
            </w:r>
            <w:proofErr w:type="spellStart"/>
            <w:r w:rsidRPr="002968A7">
              <w:t>kelayakan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bersesuaian</w:t>
            </w:r>
            <w:proofErr w:type="spellEnd"/>
            <w:r w:rsidRPr="002968A7">
              <w:t>.</w:t>
            </w:r>
          </w:p>
          <w:p w14:paraId="273D2183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Pegawai-pegawai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berkaitan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termasuklah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Inspektorat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Fasiliti</w:t>
            </w:r>
            <w:proofErr w:type="spellEnd"/>
            <w:r w:rsidRPr="002968A7">
              <w:t xml:space="preserve"> (PIF),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Operasi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Fasiliti</w:t>
            </w:r>
            <w:proofErr w:type="spellEnd"/>
            <w:r w:rsidRPr="002968A7">
              <w:t xml:space="preserve"> (POF) dan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Daftar &amp; Data </w:t>
            </w:r>
            <w:proofErr w:type="spellStart"/>
            <w:r w:rsidRPr="002968A7">
              <w:t>Fasiliti</w:t>
            </w:r>
            <w:proofErr w:type="spellEnd"/>
            <w:r w:rsidRPr="002968A7">
              <w:t xml:space="preserve"> (PDF) </w:t>
            </w:r>
            <w:proofErr w:type="spellStart"/>
            <w:r w:rsidRPr="002968A7">
              <w:t>selanjutnya</w:t>
            </w:r>
            <w:proofErr w:type="spellEnd"/>
            <w:r w:rsidRPr="002968A7">
              <w:t xml:space="preserve">. </w:t>
            </w:r>
            <w:proofErr w:type="spellStart"/>
            <w:r w:rsidRPr="002968A7">
              <w:t>Peranan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Jabatan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memuktamadkan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serta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meluluskan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senarai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pencalonan</w:t>
            </w:r>
            <w:proofErr w:type="spellEnd"/>
            <w:r w:rsidRPr="002968A7">
              <w:t xml:space="preserve"> UPF yang </w:t>
            </w:r>
            <w:proofErr w:type="spellStart"/>
            <w:r w:rsidRPr="002968A7">
              <w:t>akan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dilantik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secara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rasmi</w:t>
            </w:r>
            <w:proofErr w:type="spellEnd"/>
            <w:r w:rsidRPr="002968A7">
              <w:t xml:space="preserve"> oleh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Pengawal</w:t>
            </w:r>
            <w:proofErr w:type="spellEnd"/>
            <w:r w:rsidRPr="002968A7">
              <w:t xml:space="preserve">. </w:t>
            </w:r>
            <w:proofErr w:type="spellStart"/>
            <w:r w:rsidRPr="002968A7">
              <w:t>Pelantikan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daripada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Pengawal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tujuan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keabsahan</w:t>
            </w:r>
            <w:proofErr w:type="spellEnd"/>
            <w:r w:rsidRPr="002968A7">
              <w:t xml:space="preserve"> UPF </w:t>
            </w:r>
            <w:proofErr w:type="spellStart"/>
            <w:r w:rsidRPr="002968A7">
              <w:t>serta</w:t>
            </w:r>
            <w:proofErr w:type="spellEnd"/>
            <w:r w:rsidRPr="002968A7">
              <w:t xml:space="preserve"> acknowledgement </w:t>
            </w:r>
            <w:proofErr w:type="spellStart"/>
            <w:r w:rsidRPr="002968A7">
              <w:t>sebagai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pemilik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.  </w:t>
            </w:r>
          </w:p>
          <w:p w14:paraId="6F3B7714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Pihak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dicadangkan</w:t>
            </w:r>
            <w:proofErr w:type="spellEnd"/>
            <w:r w:rsidRPr="002968A7">
              <w:t xml:space="preserve"> agar </w:t>
            </w:r>
            <w:proofErr w:type="spellStart"/>
            <w:r w:rsidRPr="002968A7">
              <w:t>penamaan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calon</w:t>
            </w:r>
            <w:proofErr w:type="spellEnd"/>
            <w:r w:rsidRPr="002968A7">
              <w:t xml:space="preserve"> UPF </w:t>
            </w:r>
            <w:proofErr w:type="spellStart"/>
            <w:r w:rsidRPr="002968A7">
              <w:t>berdasarkan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sedia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supaya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kekerapan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pelantikan</w:t>
            </w:r>
            <w:proofErr w:type="spellEnd"/>
            <w:r w:rsidRPr="002968A7">
              <w:t xml:space="preserve"> oleh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Pengawal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dapat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diminimakan</w:t>
            </w:r>
            <w:proofErr w:type="spellEnd"/>
            <w:r w:rsidRPr="002968A7">
              <w:t xml:space="preserve">. </w:t>
            </w:r>
            <w:proofErr w:type="spellStart"/>
            <w:r w:rsidRPr="002968A7">
              <w:t>Walaubagaimanapun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cadangan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penurunan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kuasa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melantik</w:t>
            </w:r>
            <w:proofErr w:type="spellEnd"/>
            <w:r w:rsidRPr="002968A7">
              <w:t xml:space="preserve"> UPF </w:t>
            </w:r>
            <w:proofErr w:type="spellStart"/>
            <w:r w:rsidRPr="002968A7">
              <w:t>daripada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Pengawal</w:t>
            </w:r>
            <w:proofErr w:type="spellEnd"/>
            <w:r w:rsidRPr="002968A7">
              <w:t xml:space="preserve"> (KSU) </w:t>
            </w:r>
            <w:proofErr w:type="spellStart"/>
            <w:r w:rsidRPr="002968A7">
              <w:t>kepada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Jabatan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tidak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dapat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dipertimbangkan</w:t>
            </w:r>
            <w:proofErr w:type="spellEnd"/>
            <w:r w:rsidRPr="002968A7">
              <w:t xml:space="preserve"> oleh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Urus Setia JPAK pada masa </w:t>
            </w:r>
            <w:proofErr w:type="spellStart"/>
            <w:r w:rsidRPr="002968A7">
              <w:t>ini</w:t>
            </w:r>
            <w:proofErr w:type="spellEnd"/>
            <w:r w:rsidRPr="002968A7">
              <w:t xml:space="preserve">. </w:t>
            </w:r>
          </w:p>
          <w:p w14:paraId="5B3FEE49" w14:textId="7485956D" w:rsidR="0002116C" w:rsidRPr="002968A7" w:rsidRDefault="0002116C" w:rsidP="00F047C7">
            <w:pPr>
              <w:jc w:val="both"/>
            </w:pPr>
          </w:p>
        </w:tc>
      </w:tr>
      <w:tr w:rsidR="0002116C" w14:paraId="28565F00" w14:textId="77777777" w:rsidTr="0002116C">
        <w:trPr>
          <w:trHeight w:val="1539"/>
        </w:trPr>
        <w:tc>
          <w:tcPr>
            <w:tcW w:w="580" w:type="dxa"/>
            <w:vAlign w:val="center"/>
          </w:tcPr>
          <w:p w14:paraId="5D9929A3" w14:textId="0AE7132B" w:rsidR="0002116C" w:rsidRDefault="0002116C" w:rsidP="0002116C">
            <w:pPr>
              <w:jc w:val="center"/>
            </w:pPr>
            <w:r>
              <w:t>2.</w:t>
            </w:r>
          </w:p>
        </w:tc>
        <w:tc>
          <w:tcPr>
            <w:tcW w:w="3668" w:type="dxa"/>
            <w:vAlign w:val="center"/>
          </w:tcPr>
          <w:p w14:paraId="0CAAF523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Adakah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lantikan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dibuat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berdasarkan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nama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atau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tersebut</w:t>
            </w:r>
            <w:proofErr w:type="spellEnd"/>
            <w:r w:rsidRPr="002968A7">
              <w:t>?</w:t>
            </w:r>
          </w:p>
          <w:p w14:paraId="75660262" w14:textId="06412812" w:rsidR="0002116C" w:rsidRDefault="0002116C" w:rsidP="002968A7">
            <w:pPr>
              <w:shd w:val="clear" w:color="auto" w:fill="FFFFFF"/>
              <w:spacing w:before="100" w:beforeAutospacing="1" w:after="100" w:afterAutospacing="1"/>
              <w:jc w:val="both"/>
            </w:pPr>
          </w:p>
        </w:tc>
        <w:tc>
          <w:tcPr>
            <w:tcW w:w="5065" w:type="dxa"/>
            <w:vAlign w:val="center"/>
          </w:tcPr>
          <w:p w14:paraId="243A1B6E" w14:textId="4AA3CDCB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Lantikan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boleh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dilantik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berdasarkan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nama</w:t>
            </w:r>
            <w:proofErr w:type="spellEnd"/>
            <w:r w:rsidRPr="002968A7">
              <w:t xml:space="preserve"> &amp; </w:t>
            </w:r>
            <w:proofErr w:type="spellStart"/>
            <w:r w:rsidRPr="002968A7">
              <w:t>jawatan</w:t>
            </w:r>
            <w:proofErr w:type="spellEnd"/>
            <w:r w:rsidRPr="002968A7">
              <w:t xml:space="preserve">.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boleh</w:t>
            </w:r>
            <w:proofErr w:type="spellEnd"/>
            <w:r w:rsidRPr="002968A7">
              <w:t xml:space="preserve"> juga </w:t>
            </w:r>
            <w:proofErr w:type="spellStart"/>
            <w:r w:rsidRPr="002968A7">
              <w:t>dilantik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dari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Bahagian</w:t>
            </w:r>
            <w:proofErr w:type="spellEnd"/>
            <w:r w:rsidRPr="002968A7">
              <w:t>/Unit Audit (</w:t>
            </w:r>
            <w:proofErr w:type="spellStart"/>
            <w:r w:rsidRPr="002968A7">
              <w:t>sediada</w:t>
            </w:r>
            <w:proofErr w:type="spellEnd"/>
            <w:r w:rsidRPr="002968A7">
              <w:t xml:space="preserve">) di Kementerian/ </w:t>
            </w:r>
            <w:proofErr w:type="spellStart"/>
            <w:r w:rsidRPr="002968A7">
              <w:t>Jabatan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tertakluk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persetujuan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Pengawal</w:t>
            </w:r>
            <w:proofErr w:type="spellEnd"/>
            <w:r w:rsidRPr="002968A7">
              <w:t xml:space="preserve">/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Jabatan</w:t>
            </w:r>
            <w:proofErr w:type="spellEnd"/>
            <w:r w:rsidRPr="002968A7">
              <w:t>.</w:t>
            </w:r>
          </w:p>
          <w:p w14:paraId="57DF308C" w14:textId="61FA3311" w:rsidR="0002116C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bukan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dilantik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dari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kalangan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Unit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Fasiliti</w:t>
            </w:r>
            <w:proofErr w:type="spellEnd"/>
            <w:r w:rsidRPr="002968A7">
              <w:t xml:space="preserve"> (UPF).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perlu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menyediakan</w:t>
            </w:r>
            <w:proofErr w:type="spellEnd"/>
            <w:r w:rsidRPr="002968A7">
              <w:t xml:space="preserve"> program dan </w:t>
            </w:r>
            <w:proofErr w:type="spellStart"/>
            <w:r w:rsidRPr="002968A7">
              <w:t>jadual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keseluruhan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fasa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dalam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alih</w:t>
            </w:r>
            <w:proofErr w:type="spellEnd"/>
            <w:r w:rsidRPr="002968A7">
              <w:t xml:space="preserve"> (</w:t>
            </w:r>
            <w:proofErr w:type="spellStart"/>
            <w:r w:rsidRPr="002968A7">
              <w:t>penggunaan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hingga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pelupusan</w:t>
            </w:r>
            <w:proofErr w:type="spellEnd"/>
            <w:r w:rsidRPr="002968A7">
              <w:t>).</w:t>
            </w:r>
          </w:p>
        </w:tc>
      </w:tr>
    </w:tbl>
    <w:p w14:paraId="14FDC723" w14:textId="39C3357A" w:rsidR="002968A7" w:rsidRDefault="002968A7" w:rsidP="0002116C">
      <w:pPr>
        <w:jc w:val="both"/>
      </w:pPr>
    </w:p>
    <w:p w14:paraId="4E2B7E8F" w14:textId="77777777" w:rsidR="002968A7" w:rsidRDefault="002968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42AD7BB" w14:textId="03C2405A" w:rsidR="002968A7" w:rsidRPr="00E16D41" w:rsidRDefault="002968A7" w:rsidP="002968A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4AA2D4B5" w14:textId="77777777" w:rsidR="002968A7" w:rsidRPr="00E16D41" w:rsidRDefault="002968A7" w:rsidP="002968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63C7114C" w14:textId="77777777" w:rsidR="002968A7" w:rsidRDefault="002968A7" w:rsidP="002968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66EF7FE0" w14:textId="77777777" w:rsidR="002968A7" w:rsidRPr="0002116C" w:rsidRDefault="002968A7" w:rsidP="002968A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TATACARA PENGURUSAN ASET TAK ALIH (TPATA) UMUM &amp; PELAN STRATEGI PENGURUSAN ASET (OPERASI)</w:t>
      </w:r>
    </w:p>
    <w:p w14:paraId="0D09AA77" w14:textId="77777777" w:rsidR="002968A7" w:rsidRPr="002968A7" w:rsidRDefault="002968A7" w:rsidP="002968A7">
      <w:pPr>
        <w:jc w:val="both"/>
        <w:rPr>
          <w:sz w:val="12"/>
          <w:szCs w:val="12"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80"/>
        <w:gridCol w:w="3668"/>
        <w:gridCol w:w="5065"/>
      </w:tblGrid>
      <w:tr w:rsidR="002968A7" w14:paraId="6A96B4B6" w14:textId="77777777" w:rsidTr="0083758B">
        <w:trPr>
          <w:trHeight w:val="410"/>
        </w:trPr>
        <w:tc>
          <w:tcPr>
            <w:tcW w:w="580" w:type="dxa"/>
            <w:vAlign w:val="center"/>
          </w:tcPr>
          <w:p w14:paraId="46DD54E5" w14:textId="77777777" w:rsidR="002968A7" w:rsidRPr="0002116C" w:rsidRDefault="002968A7" w:rsidP="0083758B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BIL</w:t>
            </w:r>
          </w:p>
        </w:tc>
        <w:tc>
          <w:tcPr>
            <w:tcW w:w="3668" w:type="dxa"/>
            <w:vAlign w:val="center"/>
          </w:tcPr>
          <w:p w14:paraId="340EC1D7" w14:textId="77777777" w:rsidR="002968A7" w:rsidRPr="0002116C" w:rsidRDefault="002968A7" w:rsidP="0083758B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SOALAN</w:t>
            </w:r>
          </w:p>
        </w:tc>
        <w:tc>
          <w:tcPr>
            <w:tcW w:w="5065" w:type="dxa"/>
            <w:vAlign w:val="center"/>
          </w:tcPr>
          <w:p w14:paraId="352F171E" w14:textId="77777777" w:rsidR="002968A7" w:rsidRPr="0002116C" w:rsidRDefault="002968A7" w:rsidP="0083758B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JAWAPAN</w:t>
            </w:r>
          </w:p>
        </w:tc>
      </w:tr>
      <w:tr w:rsidR="002968A7" w14:paraId="2274B225" w14:textId="77777777" w:rsidTr="0083758B">
        <w:trPr>
          <w:trHeight w:val="3361"/>
        </w:trPr>
        <w:tc>
          <w:tcPr>
            <w:tcW w:w="580" w:type="dxa"/>
            <w:vAlign w:val="center"/>
          </w:tcPr>
          <w:p w14:paraId="329F89A7" w14:textId="34B0CE21" w:rsidR="002968A7" w:rsidRDefault="002968A7" w:rsidP="002968A7">
            <w:pPr>
              <w:jc w:val="center"/>
            </w:pPr>
            <w:r>
              <w:t>3.</w:t>
            </w:r>
          </w:p>
        </w:tc>
        <w:tc>
          <w:tcPr>
            <w:tcW w:w="3668" w:type="dxa"/>
            <w:vAlign w:val="center"/>
          </w:tcPr>
          <w:p w14:paraId="2BB1BCF4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Apakah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kelayakan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untuk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melantik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(</w:t>
            </w:r>
            <w:proofErr w:type="spellStart"/>
            <w:r w:rsidRPr="002968A7">
              <w:t>contohnya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gred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jawatan</w:t>
            </w:r>
            <w:proofErr w:type="spellEnd"/>
            <w:r w:rsidRPr="002968A7">
              <w:t xml:space="preserve">, skim </w:t>
            </w:r>
            <w:proofErr w:type="spellStart"/>
            <w:r w:rsidRPr="002968A7">
              <w:t>jawatan</w:t>
            </w:r>
            <w:proofErr w:type="spellEnd"/>
            <w:r w:rsidRPr="002968A7">
              <w:t xml:space="preserve"> dan </w:t>
            </w:r>
            <w:proofErr w:type="spellStart"/>
            <w:r w:rsidRPr="002968A7">
              <w:t>sebagainya</w:t>
            </w:r>
            <w:proofErr w:type="spellEnd"/>
            <w:r w:rsidRPr="002968A7">
              <w:t>)?</w:t>
            </w:r>
          </w:p>
          <w:p w14:paraId="533178ED" w14:textId="77777777" w:rsid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</w:p>
        </w:tc>
        <w:tc>
          <w:tcPr>
            <w:tcW w:w="5065" w:type="dxa"/>
            <w:vAlign w:val="center"/>
          </w:tcPr>
          <w:p w14:paraId="16E49B4E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Kelayakan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lantikan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tidak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ditetapkan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secara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khusus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sama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dari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gred</w:t>
            </w:r>
            <w:proofErr w:type="spellEnd"/>
            <w:r w:rsidRPr="002968A7">
              <w:t xml:space="preserve"> dan juga skim </w:t>
            </w:r>
            <w:proofErr w:type="spellStart"/>
            <w:r w:rsidRPr="002968A7">
              <w:t>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sebagaimana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dalam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Tatacara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Alih</w:t>
            </w:r>
            <w:proofErr w:type="spellEnd"/>
            <w:r w:rsidRPr="002968A7">
              <w:t xml:space="preserve"> (TPATA).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boleh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mengesyorkan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penamaan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calon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bersesuaian</w:t>
            </w:r>
            <w:proofErr w:type="spellEnd"/>
            <w:r w:rsidRPr="002968A7">
              <w:t xml:space="preserve"> di </w:t>
            </w:r>
            <w:proofErr w:type="spellStart"/>
            <w:r w:rsidRPr="002968A7">
              <w:t>Bahagian</w:t>
            </w:r>
            <w:proofErr w:type="spellEnd"/>
            <w:r w:rsidRPr="002968A7">
              <w:t>/ Unit Audit (</w:t>
            </w:r>
            <w:proofErr w:type="spellStart"/>
            <w:r w:rsidRPr="002968A7">
              <w:t>sediada</w:t>
            </w:r>
            <w:proofErr w:type="spellEnd"/>
            <w:r w:rsidRPr="002968A7">
              <w:t xml:space="preserve">) Kementerian/ </w:t>
            </w:r>
            <w:proofErr w:type="spellStart"/>
            <w:r w:rsidRPr="002968A7">
              <w:t>Jabatan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sebagai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tersebut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sebelum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diangkat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untuk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pelantikan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secara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rasmi</w:t>
            </w:r>
            <w:proofErr w:type="spellEnd"/>
            <w:r w:rsidRPr="002968A7">
              <w:t xml:space="preserve"> oleh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Pengawal</w:t>
            </w:r>
            <w:proofErr w:type="spellEnd"/>
            <w:r w:rsidRPr="002968A7">
              <w:t xml:space="preserve">. </w:t>
            </w:r>
          </w:p>
          <w:p w14:paraId="748FA076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</w:p>
          <w:p w14:paraId="5B26ABC4" w14:textId="75987363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Selain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itu</w:t>
            </w:r>
            <w:proofErr w:type="spellEnd"/>
            <w:r w:rsidRPr="002968A7">
              <w:t xml:space="preserve"> juga,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sebagaimana</w:t>
            </w:r>
            <w:proofErr w:type="spellEnd"/>
            <w:r w:rsidRPr="002968A7">
              <w:t xml:space="preserve"> TPATA juga </w:t>
            </w:r>
            <w:proofErr w:type="spellStart"/>
            <w:r w:rsidRPr="002968A7">
              <w:t>tidak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mengkhususkan</w:t>
            </w:r>
            <w:proofErr w:type="spellEnd"/>
            <w:r w:rsidRPr="002968A7">
              <w:t xml:space="preserve"> skim </w:t>
            </w:r>
            <w:proofErr w:type="spellStart"/>
            <w:r w:rsidRPr="002968A7">
              <w:t>Juruaudit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sahaja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layak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menjadi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. </w:t>
            </w:r>
          </w:p>
          <w:p w14:paraId="3AE5F1A9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</w:p>
        </w:tc>
      </w:tr>
      <w:tr w:rsidR="002968A7" w14:paraId="4902BBDF" w14:textId="77777777" w:rsidTr="002968A7">
        <w:trPr>
          <w:trHeight w:val="2115"/>
        </w:trPr>
        <w:tc>
          <w:tcPr>
            <w:tcW w:w="580" w:type="dxa"/>
            <w:vAlign w:val="center"/>
          </w:tcPr>
          <w:p w14:paraId="71E2EF6F" w14:textId="50AA40A6" w:rsidR="002968A7" w:rsidRDefault="002968A7" w:rsidP="002968A7">
            <w:pPr>
              <w:jc w:val="center"/>
            </w:pPr>
            <w:r>
              <w:t>4.</w:t>
            </w:r>
          </w:p>
        </w:tc>
        <w:tc>
          <w:tcPr>
            <w:tcW w:w="3668" w:type="dxa"/>
            <w:vAlign w:val="center"/>
          </w:tcPr>
          <w:p w14:paraId="7C08464B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Adakah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terdapat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tarikh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luput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dalam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perihal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pelantikan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>?</w:t>
            </w:r>
          </w:p>
          <w:p w14:paraId="1F35E8F3" w14:textId="77777777" w:rsid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</w:p>
        </w:tc>
        <w:tc>
          <w:tcPr>
            <w:tcW w:w="5065" w:type="dxa"/>
            <w:vAlign w:val="center"/>
          </w:tcPr>
          <w:p w14:paraId="084137B4" w14:textId="448834EF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2968A7">
              <w:t>Tiada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tempoh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lantikan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atau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tarikh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luput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pelantikan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dinyatakan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sebagaimana</w:t>
            </w:r>
            <w:proofErr w:type="spellEnd"/>
            <w:r w:rsidRPr="002968A7">
              <w:t xml:space="preserve"> TPATA.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boleh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menetapkan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tempoh</w:t>
            </w:r>
            <w:proofErr w:type="spellEnd"/>
            <w:r w:rsidRPr="002968A7">
              <w:t xml:space="preserve"> masa yang </w:t>
            </w:r>
            <w:proofErr w:type="spellStart"/>
            <w:r w:rsidRPr="002968A7">
              <w:t>bersesuaian</w:t>
            </w:r>
            <w:proofErr w:type="spellEnd"/>
            <w:r w:rsidRPr="002968A7">
              <w:t xml:space="preserve"> dan </w:t>
            </w:r>
            <w:proofErr w:type="spellStart"/>
            <w:r w:rsidRPr="002968A7">
              <w:t>sekiranya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dilantik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menjadi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Ketua</w:t>
            </w:r>
            <w:proofErr w:type="spellEnd"/>
            <w:r w:rsidRPr="002968A7">
              <w:t xml:space="preserve"> Audit </w:t>
            </w:r>
            <w:proofErr w:type="spellStart"/>
            <w:r w:rsidRPr="002968A7">
              <w:t>Dalaman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tersebut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berpindah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maka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pelantikan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baharu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perlu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dilaksanakan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semula</w:t>
            </w:r>
            <w:proofErr w:type="spellEnd"/>
            <w:r w:rsidRPr="002968A7">
              <w:t>.</w:t>
            </w:r>
          </w:p>
        </w:tc>
      </w:tr>
      <w:tr w:rsidR="002968A7" w14:paraId="777A9979" w14:textId="77777777" w:rsidTr="002968A7">
        <w:trPr>
          <w:trHeight w:val="2115"/>
        </w:trPr>
        <w:tc>
          <w:tcPr>
            <w:tcW w:w="580" w:type="dxa"/>
            <w:vAlign w:val="center"/>
          </w:tcPr>
          <w:p w14:paraId="1BDFF820" w14:textId="5826F0EC" w:rsidR="002968A7" w:rsidRDefault="002968A7" w:rsidP="002968A7">
            <w:pPr>
              <w:jc w:val="center"/>
            </w:pPr>
            <w:r>
              <w:t>5.</w:t>
            </w:r>
          </w:p>
        </w:tc>
        <w:tc>
          <w:tcPr>
            <w:tcW w:w="3668" w:type="dxa"/>
            <w:vAlign w:val="center"/>
          </w:tcPr>
          <w:p w14:paraId="4A4C4257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Adakah</w:t>
            </w:r>
            <w:proofErr w:type="spellEnd"/>
            <w:r w:rsidRPr="002968A7">
              <w:t xml:space="preserve"> Pelan </w:t>
            </w:r>
            <w:proofErr w:type="spellStart"/>
            <w:r w:rsidRPr="002968A7">
              <w:t>Strategi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(PSPA) (</w:t>
            </w:r>
            <w:proofErr w:type="spellStart"/>
            <w:proofErr w:type="gramStart"/>
            <w:r w:rsidRPr="002968A7">
              <w:t>Operasi</w:t>
            </w:r>
            <w:proofErr w:type="spellEnd"/>
            <w:r w:rsidRPr="002968A7">
              <w:t xml:space="preserve">)  </w:t>
            </w:r>
            <w:proofErr w:type="spellStart"/>
            <w:r w:rsidRPr="002968A7">
              <w:t>perlu</w:t>
            </w:r>
            <w:proofErr w:type="spellEnd"/>
            <w:proofErr w:type="gramEnd"/>
            <w:r w:rsidRPr="002968A7">
              <w:t xml:space="preserve"> </w:t>
            </w:r>
            <w:proofErr w:type="spellStart"/>
            <w:r w:rsidRPr="002968A7">
              <w:t>disediakan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setiap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tahun</w:t>
            </w:r>
            <w:proofErr w:type="spellEnd"/>
            <w:r w:rsidRPr="002968A7">
              <w:t>?</w:t>
            </w:r>
          </w:p>
          <w:p w14:paraId="7A3E9D65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</w:p>
        </w:tc>
        <w:tc>
          <w:tcPr>
            <w:tcW w:w="5065" w:type="dxa"/>
            <w:vAlign w:val="center"/>
          </w:tcPr>
          <w:p w14:paraId="4F291E42" w14:textId="7D6E5870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2968A7">
              <w:t xml:space="preserve">Pelan </w:t>
            </w:r>
            <w:proofErr w:type="spellStart"/>
            <w:r w:rsidRPr="002968A7">
              <w:t>Strategi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(PSPA) (</w:t>
            </w:r>
            <w:proofErr w:type="spellStart"/>
            <w:r w:rsidRPr="002968A7">
              <w:t>Operasi</w:t>
            </w:r>
            <w:proofErr w:type="spellEnd"/>
            <w:r w:rsidRPr="002968A7">
              <w:t xml:space="preserve">) </w:t>
            </w:r>
            <w:proofErr w:type="spellStart"/>
            <w:r w:rsidRPr="002968A7">
              <w:t>merupakan</w:t>
            </w:r>
            <w:proofErr w:type="spellEnd"/>
            <w:r w:rsidRPr="002968A7">
              <w:t xml:space="preserve"> Pelan </w:t>
            </w:r>
            <w:proofErr w:type="spellStart"/>
            <w:r w:rsidRPr="002968A7">
              <w:t>Strategi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tempoh</w:t>
            </w:r>
            <w:proofErr w:type="spellEnd"/>
            <w:r w:rsidRPr="002968A7">
              <w:t xml:space="preserve"> lima </w:t>
            </w:r>
            <w:proofErr w:type="spellStart"/>
            <w:r w:rsidRPr="002968A7">
              <w:t>tahun</w:t>
            </w:r>
            <w:proofErr w:type="spellEnd"/>
            <w:r w:rsidRPr="002968A7">
              <w:t xml:space="preserve"> di mana </w:t>
            </w:r>
            <w:proofErr w:type="spellStart"/>
            <w:r w:rsidRPr="002968A7">
              <w:t>setiap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tahun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perlu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disediakan</w:t>
            </w:r>
            <w:proofErr w:type="spellEnd"/>
            <w:r w:rsidRPr="002968A7">
              <w:t xml:space="preserve"> Pelan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(PPA)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setiap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premis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melibatkan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fasa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penerimaan</w:t>
            </w:r>
            <w:proofErr w:type="spellEnd"/>
            <w:r w:rsidRPr="002968A7">
              <w:t xml:space="preserve"> dan </w:t>
            </w:r>
            <w:proofErr w:type="spellStart"/>
            <w:r w:rsidRPr="002968A7">
              <w:t>pendaftaran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operasi</w:t>
            </w:r>
            <w:proofErr w:type="spellEnd"/>
            <w:r w:rsidRPr="002968A7">
              <w:t xml:space="preserve"> dan </w:t>
            </w:r>
            <w:proofErr w:type="spellStart"/>
            <w:r w:rsidRPr="002968A7">
              <w:t>penyenggaraan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penilaian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pemulihan</w:t>
            </w:r>
            <w:proofErr w:type="spellEnd"/>
            <w:r w:rsidRPr="002968A7">
              <w:t xml:space="preserve">/ </w:t>
            </w:r>
            <w:proofErr w:type="spellStart"/>
            <w:r w:rsidRPr="002968A7">
              <w:t>pemuliharaan</w:t>
            </w:r>
            <w:proofErr w:type="spellEnd"/>
            <w:r w:rsidRPr="002968A7">
              <w:t xml:space="preserve">/ </w:t>
            </w:r>
            <w:proofErr w:type="spellStart"/>
            <w:r w:rsidRPr="002968A7">
              <w:t>ubah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suai</w:t>
            </w:r>
            <w:proofErr w:type="spellEnd"/>
            <w:r w:rsidRPr="002968A7">
              <w:t xml:space="preserve"> dan naik </w:t>
            </w:r>
            <w:proofErr w:type="spellStart"/>
            <w:r w:rsidRPr="002968A7">
              <w:t>taraf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serta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pelupusan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>.</w:t>
            </w:r>
          </w:p>
        </w:tc>
      </w:tr>
      <w:tr w:rsidR="002968A7" w14:paraId="6E63AB5A" w14:textId="77777777" w:rsidTr="002968A7">
        <w:trPr>
          <w:trHeight w:val="2115"/>
        </w:trPr>
        <w:tc>
          <w:tcPr>
            <w:tcW w:w="580" w:type="dxa"/>
            <w:vAlign w:val="center"/>
          </w:tcPr>
          <w:p w14:paraId="7B113753" w14:textId="2C67A37C" w:rsidR="002968A7" w:rsidRDefault="002968A7" w:rsidP="002968A7">
            <w:pPr>
              <w:jc w:val="center"/>
            </w:pPr>
            <w:r>
              <w:t>6.</w:t>
            </w:r>
          </w:p>
        </w:tc>
        <w:tc>
          <w:tcPr>
            <w:tcW w:w="3668" w:type="dxa"/>
            <w:vAlign w:val="center"/>
          </w:tcPr>
          <w:p w14:paraId="5E845B65" w14:textId="667C5E8A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Adakah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Buku</w:t>
            </w:r>
            <w:proofErr w:type="spellEnd"/>
            <w:r w:rsidRPr="002968A7">
              <w:t xml:space="preserve"> Panduan </w:t>
            </w:r>
            <w:proofErr w:type="spellStart"/>
            <w:r w:rsidRPr="002968A7">
              <w:t>Pejawatan</w:t>
            </w:r>
            <w:proofErr w:type="spellEnd"/>
            <w:r w:rsidRPr="002968A7">
              <w:t xml:space="preserve"> UPF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Alih</w:t>
            </w:r>
            <w:proofErr w:type="spellEnd"/>
            <w:r w:rsidRPr="002968A7">
              <w:t xml:space="preserve"> Kerajaan </w:t>
            </w:r>
            <w:proofErr w:type="spellStart"/>
            <w:r w:rsidRPr="002968A7">
              <w:t>Versi</w:t>
            </w:r>
            <w:proofErr w:type="spellEnd"/>
            <w:r w:rsidRPr="002968A7">
              <w:t xml:space="preserve"> 2.0, </w:t>
            </w:r>
            <w:proofErr w:type="spellStart"/>
            <w:r w:rsidRPr="002968A7">
              <w:t>masih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merujuk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Pekeliling</w:t>
            </w:r>
            <w:proofErr w:type="spellEnd"/>
            <w:r w:rsidRPr="002968A7">
              <w:t xml:space="preserve"> Am </w:t>
            </w:r>
            <w:proofErr w:type="spellStart"/>
            <w:r w:rsidRPr="002968A7">
              <w:t>Bilangan</w:t>
            </w:r>
            <w:proofErr w:type="spellEnd"/>
            <w:r w:rsidRPr="002968A7">
              <w:t xml:space="preserve"> 2 </w:t>
            </w:r>
            <w:proofErr w:type="spellStart"/>
            <w:r w:rsidRPr="002968A7">
              <w:t>Tahun</w:t>
            </w:r>
            <w:proofErr w:type="spellEnd"/>
            <w:r w:rsidRPr="002968A7">
              <w:t xml:space="preserve"> 2012; </w:t>
            </w:r>
            <w:proofErr w:type="spellStart"/>
            <w:r w:rsidRPr="002968A7">
              <w:t>Tatacara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Alih</w:t>
            </w:r>
            <w:proofErr w:type="spellEnd"/>
            <w:r w:rsidRPr="002968A7">
              <w:t xml:space="preserve"> (TPATA) </w:t>
            </w:r>
            <w:proofErr w:type="spellStart"/>
            <w:r w:rsidRPr="002968A7">
              <w:t>atau</w:t>
            </w:r>
            <w:proofErr w:type="spellEnd"/>
            <w:r w:rsidRPr="002968A7">
              <w:t xml:space="preserve"> TPATA </w:t>
            </w:r>
            <w:proofErr w:type="spellStart"/>
            <w:r w:rsidRPr="002968A7">
              <w:t>Versi</w:t>
            </w:r>
            <w:proofErr w:type="spellEnd"/>
            <w:r w:rsidRPr="002968A7">
              <w:t xml:space="preserve"> 2.0 </w:t>
            </w:r>
            <w:proofErr w:type="spellStart"/>
            <w:r w:rsidRPr="002968A7">
              <w:t>Pekeliling</w:t>
            </w:r>
            <w:proofErr w:type="spellEnd"/>
            <w:r w:rsidRPr="002968A7">
              <w:t xml:space="preserve"> Am </w:t>
            </w:r>
            <w:proofErr w:type="spellStart"/>
            <w:r w:rsidRPr="002968A7">
              <w:t>Bilangan</w:t>
            </w:r>
            <w:proofErr w:type="spellEnd"/>
            <w:r w:rsidRPr="002968A7">
              <w:t xml:space="preserve"> 3 </w:t>
            </w:r>
            <w:proofErr w:type="spellStart"/>
            <w:r w:rsidRPr="002968A7">
              <w:t>Tahun</w:t>
            </w:r>
            <w:proofErr w:type="spellEnd"/>
            <w:r w:rsidRPr="002968A7">
              <w:t xml:space="preserve"> 2021?</w:t>
            </w:r>
          </w:p>
        </w:tc>
        <w:tc>
          <w:tcPr>
            <w:tcW w:w="5065" w:type="dxa"/>
            <w:vAlign w:val="center"/>
          </w:tcPr>
          <w:p w14:paraId="16B30F6E" w14:textId="2C235FDB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Buku</w:t>
            </w:r>
            <w:proofErr w:type="spellEnd"/>
            <w:r w:rsidRPr="002968A7">
              <w:t xml:space="preserve"> Panduan </w:t>
            </w:r>
            <w:proofErr w:type="spellStart"/>
            <w:r w:rsidRPr="002968A7">
              <w:t>Pejawatan</w:t>
            </w:r>
            <w:proofErr w:type="spellEnd"/>
            <w:r w:rsidRPr="002968A7">
              <w:t xml:space="preserve"> UPF </w:t>
            </w:r>
            <w:proofErr w:type="spellStart"/>
            <w:r w:rsidRPr="002968A7">
              <w:t>adalah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merujuk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Pekeliling</w:t>
            </w:r>
            <w:proofErr w:type="spellEnd"/>
            <w:r w:rsidRPr="002968A7">
              <w:t xml:space="preserve"> Am TPATA yang </w:t>
            </w:r>
            <w:proofErr w:type="spellStart"/>
            <w:r w:rsidRPr="002968A7">
              <w:t>terkini</w:t>
            </w:r>
            <w:proofErr w:type="spellEnd"/>
            <w:r w:rsidRPr="002968A7">
              <w:t xml:space="preserve">. </w:t>
            </w:r>
          </w:p>
        </w:tc>
      </w:tr>
    </w:tbl>
    <w:p w14:paraId="08EE3ECB" w14:textId="77777777" w:rsidR="002968A7" w:rsidRDefault="002968A7" w:rsidP="002968A7">
      <w:pPr>
        <w:jc w:val="both"/>
      </w:pPr>
    </w:p>
    <w:p w14:paraId="66572F6C" w14:textId="10F6CC54" w:rsidR="002968A7" w:rsidRDefault="002968A7">
      <w:r>
        <w:br w:type="page"/>
      </w:r>
    </w:p>
    <w:p w14:paraId="6F63C9E4" w14:textId="77777777" w:rsidR="002968A7" w:rsidRPr="00E16D41" w:rsidRDefault="002968A7" w:rsidP="002968A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62451BA6" w14:textId="77777777" w:rsidR="002968A7" w:rsidRPr="00E16D41" w:rsidRDefault="002968A7" w:rsidP="002968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104297D5" w14:textId="77777777" w:rsidR="002968A7" w:rsidRDefault="002968A7" w:rsidP="002968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65C788C3" w14:textId="77777777" w:rsidR="002968A7" w:rsidRPr="0002116C" w:rsidRDefault="002968A7" w:rsidP="002968A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TATACARA PENGURUSAN ASET TAK ALIH (TPATA) UMUM &amp; PELAN STRATEGI PENGURUSAN ASET (OPERASI)</w:t>
      </w:r>
    </w:p>
    <w:p w14:paraId="32D69E7F" w14:textId="77777777" w:rsidR="002968A7" w:rsidRPr="002968A7" w:rsidRDefault="002968A7" w:rsidP="002968A7">
      <w:pPr>
        <w:jc w:val="both"/>
        <w:rPr>
          <w:sz w:val="10"/>
          <w:szCs w:val="10"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80"/>
        <w:gridCol w:w="3668"/>
        <w:gridCol w:w="5065"/>
      </w:tblGrid>
      <w:tr w:rsidR="002968A7" w14:paraId="49DF7B14" w14:textId="77777777" w:rsidTr="0083758B">
        <w:trPr>
          <w:trHeight w:val="410"/>
        </w:trPr>
        <w:tc>
          <w:tcPr>
            <w:tcW w:w="580" w:type="dxa"/>
            <w:vAlign w:val="center"/>
          </w:tcPr>
          <w:p w14:paraId="6E8B3910" w14:textId="77777777" w:rsidR="002968A7" w:rsidRPr="0002116C" w:rsidRDefault="002968A7" w:rsidP="0083758B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BIL</w:t>
            </w:r>
          </w:p>
        </w:tc>
        <w:tc>
          <w:tcPr>
            <w:tcW w:w="3668" w:type="dxa"/>
            <w:vAlign w:val="center"/>
          </w:tcPr>
          <w:p w14:paraId="6E190D3A" w14:textId="77777777" w:rsidR="002968A7" w:rsidRPr="0002116C" w:rsidRDefault="002968A7" w:rsidP="0083758B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SOALAN</w:t>
            </w:r>
          </w:p>
        </w:tc>
        <w:tc>
          <w:tcPr>
            <w:tcW w:w="5065" w:type="dxa"/>
            <w:vAlign w:val="center"/>
          </w:tcPr>
          <w:p w14:paraId="521D51FF" w14:textId="77777777" w:rsidR="002968A7" w:rsidRPr="0002116C" w:rsidRDefault="002968A7" w:rsidP="0083758B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JAWAPAN</w:t>
            </w:r>
          </w:p>
        </w:tc>
      </w:tr>
      <w:tr w:rsidR="002968A7" w14:paraId="4F44E49F" w14:textId="77777777" w:rsidTr="002968A7">
        <w:trPr>
          <w:trHeight w:val="10478"/>
        </w:trPr>
        <w:tc>
          <w:tcPr>
            <w:tcW w:w="580" w:type="dxa"/>
            <w:vAlign w:val="center"/>
          </w:tcPr>
          <w:p w14:paraId="1D818722" w14:textId="1D2B0C92" w:rsidR="002968A7" w:rsidRDefault="002968A7" w:rsidP="0083758B">
            <w:pPr>
              <w:jc w:val="center"/>
            </w:pPr>
            <w:r>
              <w:t>7</w:t>
            </w:r>
            <w:r>
              <w:t>.</w:t>
            </w:r>
          </w:p>
        </w:tc>
        <w:tc>
          <w:tcPr>
            <w:tcW w:w="3668" w:type="dxa"/>
            <w:vAlign w:val="center"/>
          </w:tcPr>
          <w:p w14:paraId="6DFFE5CD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Adakah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boleh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melantik</w:t>
            </w:r>
            <w:proofErr w:type="spellEnd"/>
            <w:r w:rsidRPr="002968A7">
              <w:t xml:space="preserve"> PTF, PIF, POF dan PDF di </w:t>
            </w:r>
            <w:proofErr w:type="spellStart"/>
            <w:r w:rsidRPr="002968A7">
              <w:t>peringkat</w:t>
            </w:r>
            <w:proofErr w:type="spellEnd"/>
            <w:r w:rsidRPr="002968A7">
              <w:t xml:space="preserve"> Kementerian, </w:t>
            </w:r>
            <w:proofErr w:type="spellStart"/>
            <w:r w:rsidRPr="002968A7">
              <w:t>Jabatan</w:t>
            </w:r>
            <w:proofErr w:type="spellEnd"/>
            <w:r w:rsidRPr="002968A7">
              <w:t xml:space="preserve">/ Negeri dan Daerah yang </w:t>
            </w:r>
            <w:proofErr w:type="spellStart"/>
            <w:r w:rsidRPr="002968A7">
              <w:t>bukan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dalam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kalangan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Pegawai</w:t>
            </w:r>
            <w:proofErr w:type="spellEnd"/>
            <w:r w:rsidRPr="002968A7">
              <w:t xml:space="preserve"> Kumpulan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dan </w:t>
            </w:r>
            <w:proofErr w:type="spellStart"/>
            <w:r w:rsidRPr="002968A7">
              <w:t>Profesional</w:t>
            </w:r>
            <w:proofErr w:type="spellEnd"/>
            <w:r w:rsidRPr="002968A7">
              <w:t xml:space="preserve"> (P&amp;P) skim </w:t>
            </w:r>
            <w:proofErr w:type="spellStart"/>
            <w:r w:rsidRPr="002968A7">
              <w:t>Kejuruteraan</w:t>
            </w:r>
            <w:proofErr w:type="spellEnd"/>
            <w:r w:rsidRPr="002968A7">
              <w:t xml:space="preserve"> (J)?</w:t>
            </w:r>
          </w:p>
          <w:p w14:paraId="1B95F87F" w14:textId="77777777" w:rsid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</w:p>
        </w:tc>
        <w:tc>
          <w:tcPr>
            <w:tcW w:w="5065" w:type="dxa"/>
            <w:vAlign w:val="center"/>
          </w:tcPr>
          <w:p w14:paraId="478D2C6F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Pihak</w:t>
            </w:r>
            <w:proofErr w:type="spellEnd"/>
            <w:r w:rsidRPr="002968A7">
              <w:t xml:space="preserve"> urus </w:t>
            </w:r>
            <w:proofErr w:type="spellStart"/>
            <w:r w:rsidRPr="002968A7">
              <w:t>setia</w:t>
            </w:r>
            <w:proofErr w:type="spellEnd"/>
            <w:r w:rsidRPr="002968A7">
              <w:t xml:space="preserve"> JPAK </w:t>
            </w:r>
            <w:proofErr w:type="spellStart"/>
            <w:r w:rsidRPr="002968A7">
              <w:t>telah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membangkitkan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dalam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Mesy</w:t>
            </w:r>
            <w:proofErr w:type="spellEnd"/>
            <w:r w:rsidRPr="002968A7">
              <w:t xml:space="preserve"> JPAK </w:t>
            </w:r>
            <w:proofErr w:type="spellStart"/>
            <w:r w:rsidRPr="002968A7">
              <w:t>Bilangan</w:t>
            </w:r>
            <w:proofErr w:type="spellEnd"/>
            <w:r w:rsidRPr="002968A7">
              <w:t xml:space="preserve"> 2 </w:t>
            </w:r>
            <w:proofErr w:type="spellStart"/>
            <w:r w:rsidRPr="002968A7">
              <w:t>Tahun</w:t>
            </w:r>
            <w:proofErr w:type="spellEnd"/>
            <w:r w:rsidRPr="002968A7">
              <w:t xml:space="preserve"> 2021 yang </w:t>
            </w:r>
            <w:proofErr w:type="spellStart"/>
            <w:r w:rsidRPr="002968A7">
              <w:t>dipengerusikan</w:t>
            </w:r>
            <w:proofErr w:type="spellEnd"/>
            <w:r w:rsidRPr="002968A7">
              <w:t xml:space="preserve"> oleh KSN </w:t>
            </w:r>
            <w:proofErr w:type="spellStart"/>
            <w:r w:rsidRPr="002968A7">
              <w:t>iaitu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antara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cabaran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dihadapi</w:t>
            </w:r>
            <w:proofErr w:type="spellEnd"/>
            <w:r w:rsidRPr="002968A7">
              <w:t xml:space="preserve"> oleh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ialah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kekurangan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sumber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manusia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dalam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Alih</w:t>
            </w:r>
            <w:proofErr w:type="spellEnd"/>
            <w:r w:rsidRPr="002968A7">
              <w:t xml:space="preserve"> (PATA). </w:t>
            </w:r>
            <w:proofErr w:type="spellStart"/>
            <w:r w:rsidRPr="002968A7">
              <w:t>Berikut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adalah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keputusan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mesyuarat</w:t>
            </w:r>
            <w:proofErr w:type="spellEnd"/>
            <w:r w:rsidRPr="002968A7">
              <w:t xml:space="preserve">: </w:t>
            </w:r>
          </w:p>
          <w:p w14:paraId="0DEE87E7" w14:textId="77777777" w:rsidR="002968A7" w:rsidRPr="002968A7" w:rsidRDefault="002968A7" w:rsidP="002968A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jc w:val="both"/>
            </w:pPr>
            <w:proofErr w:type="spellStart"/>
            <w:r w:rsidRPr="002968A7">
              <w:t>Mesyuarat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bersetuju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keperluan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penambahan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Alih</w:t>
            </w:r>
            <w:proofErr w:type="spellEnd"/>
            <w:r w:rsidRPr="002968A7">
              <w:t xml:space="preserve"> di </w:t>
            </w:r>
            <w:proofErr w:type="spellStart"/>
            <w:r w:rsidRPr="002968A7">
              <w:t>setiap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Kerajaan.</w:t>
            </w:r>
          </w:p>
          <w:p w14:paraId="12E059C6" w14:textId="77777777" w:rsidR="002968A7" w:rsidRPr="002968A7" w:rsidRDefault="002968A7" w:rsidP="002968A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6" w:lineRule="auto"/>
              <w:jc w:val="both"/>
            </w:pPr>
            <w:proofErr w:type="spellStart"/>
            <w:r w:rsidRPr="002968A7">
              <w:t>Mesyuarat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bersetuju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Buku</w:t>
            </w:r>
            <w:proofErr w:type="spellEnd"/>
            <w:r w:rsidRPr="002968A7">
              <w:t xml:space="preserve"> Panduan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 Unit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Fasiliti</w:t>
            </w:r>
            <w:proofErr w:type="spellEnd"/>
            <w:r w:rsidRPr="002968A7">
              <w:t xml:space="preserve"> (UPF)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Alih</w:t>
            </w:r>
            <w:proofErr w:type="spellEnd"/>
            <w:r w:rsidRPr="002968A7">
              <w:t xml:space="preserve"> </w:t>
            </w:r>
            <w:proofErr w:type="gramStart"/>
            <w:r w:rsidRPr="002968A7">
              <w:t xml:space="preserve">Kerajaan  </w:t>
            </w:r>
            <w:proofErr w:type="spellStart"/>
            <w:r w:rsidRPr="002968A7">
              <w:t>hanya</w:t>
            </w:r>
            <w:proofErr w:type="spellEnd"/>
            <w:proofErr w:type="gramEnd"/>
            <w:r w:rsidRPr="002968A7">
              <w:t xml:space="preserve"> </w:t>
            </w:r>
            <w:proofErr w:type="spellStart"/>
            <w:r w:rsidRPr="002968A7">
              <w:t>sebagai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panduan</w:t>
            </w:r>
            <w:proofErr w:type="spellEnd"/>
            <w:r w:rsidRPr="002968A7">
              <w:t xml:space="preserve"> di </w:t>
            </w:r>
            <w:proofErr w:type="spellStart"/>
            <w:r w:rsidRPr="002968A7">
              <w:t>peringkat</w:t>
            </w:r>
            <w:proofErr w:type="spellEnd"/>
            <w:r w:rsidRPr="002968A7">
              <w:t xml:space="preserve"> JPA </w:t>
            </w:r>
            <w:proofErr w:type="spellStart"/>
            <w:r w:rsidRPr="002968A7">
              <w:t>dalam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mempertimbangkan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permohonan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tambahan</w:t>
            </w:r>
            <w:proofErr w:type="spellEnd"/>
            <w:r w:rsidRPr="002968A7">
              <w:t xml:space="preserve"> oleh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dan </w:t>
            </w:r>
            <w:proofErr w:type="spellStart"/>
            <w:r w:rsidRPr="002968A7">
              <w:t>bukan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punca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kuasa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permohonan</w:t>
            </w:r>
            <w:proofErr w:type="spellEnd"/>
            <w:r w:rsidRPr="002968A7">
              <w:t>.</w:t>
            </w:r>
          </w:p>
          <w:p w14:paraId="43E0C4E4" w14:textId="77777777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2968A7">
              <w:t xml:space="preserve">Oleh yang </w:t>
            </w:r>
            <w:proofErr w:type="spellStart"/>
            <w:r w:rsidRPr="002968A7">
              <w:t>demikian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sekiranya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terdapat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berhasrat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untuk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memperkasakan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struktur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organisasi</w:t>
            </w:r>
            <w:proofErr w:type="spellEnd"/>
            <w:r w:rsidRPr="002968A7">
              <w:t xml:space="preserve"> UPF di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masing-masing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boleh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merujuk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Buku</w:t>
            </w:r>
            <w:proofErr w:type="spellEnd"/>
            <w:r w:rsidRPr="002968A7">
              <w:t xml:space="preserve"> Panduan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 UPF </w:t>
            </w:r>
            <w:proofErr w:type="spellStart"/>
            <w:r w:rsidRPr="002968A7">
              <w:t>sebagai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panduan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sahaja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tujuan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memberikan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justifikasi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baharu</w:t>
            </w:r>
            <w:proofErr w:type="spellEnd"/>
            <w:r w:rsidRPr="002968A7">
              <w:t xml:space="preserve"> di </w:t>
            </w:r>
            <w:proofErr w:type="spellStart"/>
            <w:r w:rsidRPr="002968A7">
              <w:t>samping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justifikasi</w:t>
            </w:r>
            <w:proofErr w:type="spellEnd"/>
            <w:r w:rsidRPr="002968A7">
              <w:t xml:space="preserve"> lain yang </w:t>
            </w:r>
            <w:proofErr w:type="spellStart"/>
            <w:r w:rsidRPr="002968A7">
              <w:t>diperlukan</w:t>
            </w:r>
            <w:proofErr w:type="spellEnd"/>
            <w:r w:rsidRPr="002968A7">
              <w:t xml:space="preserve"> oleh JPA. </w:t>
            </w:r>
          </w:p>
          <w:p w14:paraId="460880E0" w14:textId="0338886F" w:rsidR="002968A7" w:rsidRPr="002968A7" w:rsidRDefault="002968A7" w:rsidP="002968A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2968A7">
              <w:t xml:space="preserve">Dari </w:t>
            </w:r>
            <w:proofErr w:type="spellStart"/>
            <w:r w:rsidRPr="002968A7">
              <w:t>segi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penentuan</w:t>
            </w:r>
            <w:proofErr w:type="spellEnd"/>
            <w:r w:rsidRPr="002968A7">
              <w:t xml:space="preserve"> skim yang </w:t>
            </w:r>
            <w:proofErr w:type="spellStart"/>
            <w:r w:rsidRPr="002968A7">
              <w:t>sesuai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secara</w:t>
            </w:r>
            <w:proofErr w:type="spellEnd"/>
            <w:r w:rsidRPr="002968A7">
              <w:t xml:space="preserve"> ideal </w:t>
            </w:r>
            <w:proofErr w:type="spellStart"/>
            <w:r w:rsidRPr="002968A7">
              <w:t>dicadangkan</w:t>
            </w:r>
            <w:proofErr w:type="spellEnd"/>
            <w:r w:rsidRPr="002968A7">
              <w:t xml:space="preserve"> skim yang </w:t>
            </w:r>
            <w:proofErr w:type="spellStart"/>
            <w:r w:rsidRPr="002968A7">
              <w:t>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latar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belakang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teknikal</w:t>
            </w:r>
            <w:proofErr w:type="spellEnd"/>
            <w:r w:rsidRPr="002968A7">
              <w:t xml:space="preserve">. </w:t>
            </w:r>
            <w:proofErr w:type="spellStart"/>
            <w:r w:rsidRPr="002968A7">
              <w:t>Namun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disebabkan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faktor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kekangan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, buat </w:t>
            </w:r>
            <w:proofErr w:type="spellStart"/>
            <w:r w:rsidRPr="002968A7">
              <w:t>sementara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ini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semua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disyorkan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menggunakan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serta</w:t>
            </w:r>
            <w:proofErr w:type="spellEnd"/>
            <w:r w:rsidRPr="002968A7">
              <w:t xml:space="preserve"> skim </w:t>
            </w:r>
            <w:proofErr w:type="spellStart"/>
            <w:r w:rsidRPr="002968A7">
              <w:t>sedia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ada</w:t>
            </w:r>
            <w:proofErr w:type="spellEnd"/>
            <w:r w:rsidRPr="002968A7">
              <w:t xml:space="preserve">. </w:t>
            </w:r>
            <w:proofErr w:type="spellStart"/>
            <w:r w:rsidRPr="002968A7">
              <w:t>Merujuk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contoh</w:t>
            </w:r>
            <w:proofErr w:type="spellEnd"/>
            <w:r w:rsidRPr="002968A7">
              <w:t xml:space="preserve"> yang tuan </w:t>
            </w:r>
            <w:proofErr w:type="spellStart"/>
            <w:r w:rsidRPr="002968A7">
              <w:t>beri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tiada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halangan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sekiranya</w:t>
            </w:r>
            <w:proofErr w:type="spellEnd"/>
            <w:r w:rsidRPr="002968A7">
              <w:t xml:space="preserve"> skim </w:t>
            </w:r>
            <w:proofErr w:type="spellStart"/>
            <w:r w:rsidRPr="002968A7">
              <w:t>selain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daripada</w:t>
            </w:r>
            <w:proofErr w:type="spellEnd"/>
            <w:r w:rsidRPr="002968A7">
              <w:t xml:space="preserve"> Skim J </w:t>
            </w:r>
            <w:proofErr w:type="spellStart"/>
            <w:r w:rsidRPr="002968A7">
              <w:t>dilantik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sebagai</w:t>
            </w:r>
            <w:proofErr w:type="spellEnd"/>
            <w:r w:rsidRPr="002968A7">
              <w:t xml:space="preserve"> PTF kerana PTF </w:t>
            </w:r>
            <w:proofErr w:type="spellStart"/>
            <w:r w:rsidRPr="002968A7">
              <w:t>mempunyai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kapasiti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untuk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memberikan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khidmat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nasihat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kepada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pengurusan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atasan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dalam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menguruskan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aset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alih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dimiliki</w:t>
            </w:r>
            <w:proofErr w:type="spellEnd"/>
            <w:r w:rsidRPr="002968A7">
              <w:t>.</w:t>
            </w:r>
          </w:p>
        </w:tc>
      </w:tr>
    </w:tbl>
    <w:p w14:paraId="67096B3C" w14:textId="529E2F23" w:rsidR="002968A7" w:rsidRDefault="002968A7" w:rsidP="0002116C">
      <w:pPr>
        <w:jc w:val="both"/>
      </w:pPr>
    </w:p>
    <w:p w14:paraId="19833A2B" w14:textId="77777777" w:rsidR="002968A7" w:rsidRDefault="002968A7">
      <w:r>
        <w:br w:type="page"/>
      </w:r>
    </w:p>
    <w:p w14:paraId="5A5B560A" w14:textId="77777777" w:rsidR="002968A7" w:rsidRPr="00E16D41" w:rsidRDefault="002968A7" w:rsidP="002968A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7D00B657" w14:textId="77777777" w:rsidR="002968A7" w:rsidRPr="00E16D41" w:rsidRDefault="002968A7" w:rsidP="002968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1F601959" w14:textId="77777777" w:rsidR="002968A7" w:rsidRDefault="002968A7" w:rsidP="002968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44B93AFB" w14:textId="77777777" w:rsidR="002968A7" w:rsidRPr="0002116C" w:rsidRDefault="002968A7" w:rsidP="002968A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TATACARA PENGURUSAN ASET TAK ALIH (TPATA) UMUM &amp; PELAN STRATEGI PENGURUSAN ASET (OPERASI)</w:t>
      </w:r>
    </w:p>
    <w:p w14:paraId="11188C3F" w14:textId="77777777" w:rsidR="002968A7" w:rsidRPr="002968A7" w:rsidRDefault="002968A7" w:rsidP="002968A7">
      <w:pPr>
        <w:jc w:val="both"/>
        <w:rPr>
          <w:sz w:val="10"/>
          <w:szCs w:val="10"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80"/>
        <w:gridCol w:w="3668"/>
        <w:gridCol w:w="5065"/>
      </w:tblGrid>
      <w:tr w:rsidR="002968A7" w14:paraId="4541C377" w14:textId="77777777" w:rsidTr="0083758B">
        <w:trPr>
          <w:trHeight w:val="410"/>
        </w:trPr>
        <w:tc>
          <w:tcPr>
            <w:tcW w:w="580" w:type="dxa"/>
            <w:vAlign w:val="center"/>
          </w:tcPr>
          <w:p w14:paraId="75C9174A" w14:textId="77777777" w:rsidR="002968A7" w:rsidRPr="0002116C" w:rsidRDefault="002968A7" w:rsidP="0083758B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BIL</w:t>
            </w:r>
          </w:p>
        </w:tc>
        <w:tc>
          <w:tcPr>
            <w:tcW w:w="3668" w:type="dxa"/>
            <w:vAlign w:val="center"/>
          </w:tcPr>
          <w:p w14:paraId="3E8F59E2" w14:textId="77777777" w:rsidR="002968A7" w:rsidRPr="0002116C" w:rsidRDefault="002968A7" w:rsidP="0083758B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SOALAN</w:t>
            </w:r>
          </w:p>
        </w:tc>
        <w:tc>
          <w:tcPr>
            <w:tcW w:w="5065" w:type="dxa"/>
            <w:vAlign w:val="center"/>
          </w:tcPr>
          <w:p w14:paraId="1C781170" w14:textId="77777777" w:rsidR="002968A7" w:rsidRPr="0002116C" w:rsidRDefault="002968A7" w:rsidP="0083758B">
            <w:pPr>
              <w:jc w:val="center"/>
              <w:rPr>
                <w:b/>
                <w:bCs/>
              </w:rPr>
            </w:pPr>
            <w:r w:rsidRPr="0002116C">
              <w:rPr>
                <w:b/>
                <w:bCs/>
              </w:rPr>
              <w:t>JAWAPAN</w:t>
            </w:r>
          </w:p>
        </w:tc>
      </w:tr>
      <w:tr w:rsidR="002968A7" w14:paraId="7B3B296C" w14:textId="77777777" w:rsidTr="002968A7">
        <w:trPr>
          <w:trHeight w:val="2257"/>
        </w:trPr>
        <w:tc>
          <w:tcPr>
            <w:tcW w:w="580" w:type="dxa"/>
            <w:vAlign w:val="center"/>
          </w:tcPr>
          <w:p w14:paraId="4990545F" w14:textId="3FA6F727" w:rsidR="002968A7" w:rsidRDefault="002968A7" w:rsidP="0083758B">
            <w:pPr>
              <w:jc w:val="center"/>
            </w:pPr>
            <w:r>
              <w:t>8.</w:t>
            </w:r>
          </w:p>
        </w:tc>
        <w:tc>
          <w:tcPr>
            <w:tcW w:w="3668" w:type="dxa"/>
            <w:vAlign w:val="center"/>
          </w:tcPr>
          <w:p w14:paraId="4101AFC8" w14:textId="77777777" w:rsidR="002968A7" w:rsidRPr="002968A7" w:rsidRDefault="002968A7" w:rsidP="0083758B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Adakah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boleh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memohon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baharu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untuk</w:t>
            </w:r>
            <w:proofErr w:type="spellEnd"/>
            <w:r w:rsidRPr="002968A7">
              <w:t xml:space="preserve"> UPF </w:t>
            </w:r>
            <w:proofErr w:type="spellStart"/>
            <w:proofErr w:type="gramStart"/>
            <w:r w:rsidRPr="002968A7">
              <w:t>melalui</w:t>
            </w:r>
            <w:proofErr w:type="spellEnd"/>
            <w:r w:rsidRPr="002968A7">
              <w:t xml:space="preserve">  Urus</w:t>
            </w:r>
            <w:proofErr w:type="gramEnd"/>
            <w:r w:rsidRPr="002968A7">
              <w:t xml:space="preserve"> </w:t>
            </w:r>
            <w:proofErr w:type="spellStart"/>
            <w:r w:rsidRPr="002968A7">
              <w:t>setia</w:t>
            </w:r>
            <w:proofErr w:type="spellEnd"/>
            <w:r w:rsidRPr="002968A7">
              <w:t xml:space="preserve"> JPAK?</w:t>
            </w:r>
          </w:p>
        </w:tc>
        <w:tc>
          <w:tcPr>
            <w:tcW w:w="5065" w:type="dxa"/>
            <w:vAlign w:val="center"/>
          </w:tcPr>
          <w:p w14:paraId="2CDB7C45" w14:textId="036477F3" w:rsidR="002968A7" w:rsidRPr="002968A7" w:rsidRDefault="002968A7" w:rsidP="0083758B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2968A7">
              <w:t>Berdasarkan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nasihat</w:t>
            </w:r>
            <w:proofErr w:type="spellEnd"/>
            <w:r w:rsidRPr="002968A7">
              <w:t xml:space="preserve"> JPA,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Urus Setia JPAK </w:t>
            </w:r>
            <w:proofErr w:type="spellStart"/>
            <w:r w:rsidRPr="002968A7">
              <w:t>tidak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boleh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memohon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baharu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mewakili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.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Urus Setia JPAK </w:t>
            </w:r>
            <w:proofErr w:type="spellStart"/>
            <w:r w:rsidRPr="002968A7">
              <w:t>hanya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boleh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mengumpulkan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maklumat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sahaja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tentang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statistik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bilangan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tambahan</w:t>
            </w:r>
            <w:proofErr w:type="spellEnd"/>
            <w:r w:rsidRPr="002968A7">
              <w:t xml:space="preserve"> yang </w:t>
            </w:r>
            <w:proofErr w:type="spellStart"/>
            <w:r w:rsidRPr="002968A7">
              <w:t>diperlukan</w:t>
            </w:r>
            <w:proofErr w:type="spellEnd"/>
            <w:r w:rsidRPr="002968A7">
              <w:t xml:space="preserve"> </w:t>
            </w:r>
            <w:proofErr w:type="gramStart"/>
            <w:r w:rsidRPr="002968A7">
              <w:t xml:space="preserve">oleh  </w:t>
            </w:r>
            <w:proofErr w:type="spellStart"/>
            <w:r w:rsidRPr="002968A7">
              <w:t>Agensi</w:t>
            </w:r>
            <w:proofErr w:type="spellEnd"/>
            <w:proofErr w:type="gramEnd"/>
            <w:r w:rsidRPr="002968A7">
              <w:t xml:space="preserve">. Oleh </w:t>
            </w:r>
            <w:proofErr w:type="spellStart"/>
            <w:r w:rsidRPr="002968A7">
              <w:t>itu</w:t>
            </w:r>
            <w:proofErr w:type="spellEnd"/>
            <w:r w:rsidRPr="002968A7">
              <w:t xml:space="preserve">, </w:t>
            </w:r>
            <w:proofErr w:type="spellStart"/>
            <w:r w:rsidRPr="002968A7">
              <w:t>permohonan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perjawatan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baharu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perlu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dikemukakan</w:t>
            </w:r>
            <w:proofErr w:type="spellEnd"/>
            <w:r w:rsidRPr="002968A7">
              <w:t xml:space="preserve"> oleh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Agensi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untuk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kelulusan</w:t>
            </w:r>
            <w:proofErr w:type="spellEnd"/>
            <w:r w:rsidRPr="002968A7">
              <w:t xml:space="preserve"> </w:t>
            </w:r>
            <w:proofErr w:type="spellStart"/>
            <w:r w:rsidRPr="002968A7">
              <w:t>pihak</w:t>
            </w:r>
            <w:proofErr w:type="spellEnd"/>
            <w:r w:rsidRPr="002968A7">
              <w:t xml:space="preserve"> JPA.</w:t>
            </w:r>
          </w:p>
        </w:tc>
      </w:tr>
    </w:tbl>
    <w:p w14:paraId="27B10394" w14:textId="77777777" w:rsidR="002968A7" w:rsidRDefault="002968A7" w:rsidP="002968A7">
      <w:pPr>
        <w:jc w:val="both"/>
      </w:pPr>
    </w:p>
    <w:p w14:paraId="02535987" w14:textId="77777777" w:rsidR="0002116C" w:rsidRDefault="0002116C" w:rsidP="0002116C">
      <w:pPr>
        <w:jc w:val="both"/>
      </w:pPr>
    </w:p>
    <w:sectPr w:rsidR="00021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9AE"/>
    <w:multiLevelType w:val="hybridMultilevel"/>
    <w:tmpl w:val="33BE4D6C"/>
    <w:lvl w:ilvl="0" w:tplc="3BE8A772">
      <w:start w:val="1"/>
      <w:numFmt w:val="lowerRoman"/>
      <w:lvlText w:val="(%1)"/>
      <w:lvlJc w:val="left"/>
      <w:pPr>
        <w:ind w:left="720" w:hanging="72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F2A48"/>
    <w:multiLevelType w:val="hybridMultilevel"/>
    <w:tmpl w:val="AF9A58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47C1"/>
    <w:multiLevelType w:val="hybridMultilevel"/>
    <w:tmpl w:val="1D56E646"/>
    <w:lvl w:ilvl="0" w:tplc="3474CF3E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E646301"/>
    <w:multiLevelType w:val="hybridMultilevel"/>
    <w:tmpl w:val="62D858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7"/>
    <w:rsid w:val="0002116C"/>
    <w:rsid w:val="002968A7"/>
    <w:rsid w:val="00806A94"/>
    <w:rsid w:val="00957917"/>
    <w:rsid w:val="009813F2"/>
    <w:rsid w:val="00A47F17"/>
    <w:rsid w:val="00C64F4F"/>
    <w:rsid w:val="00E46116"/>
    <w:rsid w:val="00F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87A4"/>
  <w15:chartTrackingRefBased/>
  <w15:docId w15:val="{1D1F8D5C-3F1A-4D30-919A-D0FE760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6C"/>
    <w:pPr>
      <w:ind w:left="720"/>
      <w:contextualSpacing/>
    </w:pPr>
  </w:style>
  <w:style w:type="table" w:styleId="TableGrid">
    <w:name w:val="Table Grid"/>
    <w:basedOn w:val="TableNormal"/>
    <w:uiPriority w:val="39"/>
    <w:rsid w:val="000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CPAB 04</dc:creator>
  <cp:keywords/>
  <dc:description/>
  <cp:lastModifiedBy>Aishah Aishah</cp:lastModifiedBy>
  <cp:revision>2</cp:revision>
  <cp:lastPrinted>2023-04-12T02:14:00Z</cp:lastPrinted>
  <dcterms:created xsi:type="dcterms:W3CDTF">2023-05-17T03:58:00Z</dcterms:created>
  <dcterms:modified xsi:type="dcterms:W3CDTF">2023-05-17T03:58:00Z</dcterms:modified>
</cp:coreProperties>
</file>